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DDE67" w14:textId="77777777" w:rsidR="002608DE" w:rsidRPr="002C67BA" w:rsidRDefault="00E55DE4" w:rsidP="002C67BA">
      <w:pPr>
        <w:jc w:val="right"/>
        <w:rPr>
          <w:i/>
        </w:rPr>
      </w:pPr>
      <w:bookmarkStart w:id="0" w:name="_GoBack"/>
      <w:bookmarkEnd w:id="0"/>
      <w:r w:rsidRPr="002C67BA">
        <w:rPr>
          <w:i/>
        </w:rPr>
        <w:t>Приложение</w:t>
      </w:r>
    </w:p>
    <w:p w14:paraId="0809FFD2" w14:textId="77777777" w:rsidR="00E55DE4" w:rsidRDefault="00E55DE4"/>
    <w:p w14:paraId="02A7CC12" w14:textId="77777777" w:rsidR="00E55DE4" w:rsidRPr="002C67BA" w:rsidRDefault="00E55DE4" w:rsidP="002C67BA">
      <w:pPr>
        <w:jc w:val="center"/>
        <w:rPr>
          <w:b/>
        </w:rPr>
      </w:pPr>
      <w:r w:rsidRPr="002C67BA">
        <w:rPr>
          <w:b/>
        </w:rPr>
        <w:t>Учреждения для людей с ментальной инвалидностью в Федеративной Республике Германия</w:t>
      </w:r>
    </w:p>
    <w:p w14:paraId="7A4C8B87" w14:textId="77777777" w:rsidR="00E55DE4" w:rsidRDefault="00E55DE4"/>
    <w:p w14:paraId="4D182EFB" w14:textId="0EBA8716" w:rsidR="00AB72B5" w:rsidRDefault="00AB72B5" w:rsidP="00B77EC6">
      <w:pPr>
        <w:spacing w:after="120"/>
        <w:ind w:firstLine="357"/>
        <w:jc w:val="both"/>
      </w:pPr>
      <w:r>
        <w:t xml:space="preserve">Из всех людей с ментальной инвалидностью, нуждающихся в социальном обслуживании в ФРГ, </w:t>
      </w:r>
      <w:r w:rsidR="008778CD">
        <w:t>49</w:t>
      </w:r>
      <w:r>
        <w:t>,</w:t>
      </w:r>
      <w:r w:rsidR="008778CD">
        <w:t>4</w:t>
      </w:r>
      <w:r>
        <w:t xml:space="preserve">% получают такую помощь в амбулаторных условиях, то есть проживая </w:t>
      </w:r>
      <w:r w:rsidR="00AE0659">
        <w:t>в своем или арендованном за счет государства жилье, в том числе малыми группами</w:t>
      </w:r>
      <w:r w:rsidR="00AE0659">
        <w:rPr>
          <w:rStyle w:val="a6"/>
        </w:rPr>
        <w:footnoteReference w:id="1"/>
      </w:r>
      <w:r>
        <w:t>. Ежегодно число людей, получающих социальное обслуживание в амбулаторных условиях, увеличивается на 1%.</w:t>
      </w:r>
    </w:p>
    <w:p w14:paraId="014A70A9" w14:textId="069D2736" w:rsidR="00A45878" w:rsidRDefault="00A45878" w:rsidP="00B77EC6">
      <w:pPr>
        <w:spacing w:after="120"/>
        <w:ind w:firstLine="357"/>
        <w:jc w:val="both"/>
      </w:pPr>
      <w:r>
        <w:t xml:space="preserve">Стационарные учреждения для людей с собственно психическими заболеваниями и для людей с нарушениями интеллекта в ФРГ функционируют отдельно. </w:t>
      </w:r>
      <w:r w:rsidR="00AB72B5">
        <w:t>Стационарные учреждения включают в себя дома малой вместимости</w:t>
      </w:r>
      <w:r w:rsidR="00AE0659">
        <w:t>, состоящие из небольшого дома или нескольких квартир, находящихся в управлении учреждения</w:t>
      </w:r>
      <w:r w:rsidR="00AB72B5">
        <w:t>, в которых жилье также предоставляется за счет государственного финансирования.</w:t>
      </w:r>
    </w:p>
    <w:p w14:paraId="284B53A7" w14:textId="4B44D93F" w:rsidR="00AB72B5" w:rsidRDefault="002C67BA" w:rsidP="00AB72B5">
      <w:pPr>
        <w:spacing w:after="120"/>
        <w:ind w:firstLine="357"/>
        <w:jc w:val="both"/>
      </w:pPr>
      <w:r>
        <w:t>Согласно статистке Федеральной ассоциации благотворительных организаций</w:t>
      </w:r>
      <w:r w:rsidR="00A45878">
        <w:rPr>
          <w:rStyle w:val="a6"/>
        </w:rPr>
        <w:footnoteReference w:id="2"/>
      </w:r>
      <w:r>
        <w:t xml:space="preserve"> Германии</w:t>
      </w:r>
      <w:r w:rsidR="00D4456C">
        <w:rPr>
          <w:rStyle w:val="a6"/>
        </w:rPr>
        <w:footnoteReference w:id="3"/>
      </w:r>
      <w:r>
        <w:t>,</w:t>
      </w:r>
      <w:r w:rsidR="006F6F70">
        <w:t xml:space="preserve"> среднее число людей с инвалидностью, проживающих в </w:t>
      </w:r>
      <w:r w:rsidR="00D4456C">
        <w:t xml:space="preserve">899 </w:t>
      </w:r>
      <w:r w:rsidR="006F6F70">
        <w:t xml:space="preserve">стационарных учреждениях для людей с психическими </w:t>
      </w:r>
      <w:r w:rsidR="00A45878">
        <w:t>заболеваниями</w:t>
      </w:r>
      <w:r w:rsidR="006F6F70">
        <w:t xml:space="preserve"> составляет </w:t>
      </w:r>
      <w:r w:rsidR="00D4456C">
        <w:t>31.491</w:t>
      </w:r>
      <w:r w:rsidR="00B66FC7">
        <w:t xml:space="preserve"> человек, </w:t>
      </w:r>
      <w:r w:rsidR="00D4456C">
        <w:t xml:space="preserve">при этом среднее число проживающих в одном учреждении не превышает 40 человек. В то же время для данной категории инвалидов имеется 1085 домов малой вместимости, в которых проживает 14.804 человек, то есть в среднем 14 человек в одном доме малой вместимости. </w:t>
      </w:r>
      <w:r w:rsidR="00AB72B5">
        <w:t xml:space="preserve">Таким образом, более половины от общего числа учреждений для людей с психическими заболеваниями – это дома малой вместимости. </w:t>
      </w:r>
    </w:p>
    <w:p w14:paraId="21CE3522" w14:textId="03FD70B4" w:rsidR="006F6F70" w:rsidRDefault="00D4456C" w:rsidP="00B77EC6">
      <w:pPr>
        <w:spacing w:after="120"/>
        <w:ind w:firstLine="357"/>
        <w:jc w:val="both"/>
      </w:pPr>
      <w:r>
        <w:t>Для людей с интеллектуальными нарушениями имеется 2371 учреждение социального обслуживания, где проживают 101.501 человек, что составляет в среднем 43 человека в одном учреждении. При этом также для данной категории инвалидов работают 1512 домов малой вместимости, в которых проживают 18.833 человека, то есть в среднем 12 человек в одном доме малой вместимости.</w:t>
      </w:r>
      <w:r w:rsidR="00AB72B5">
        <w:t xml:space="preserve"> Таким образом, почти половина от общего числа учреждений для людей с интеллектуальными нарушениями – это дома малой вместимости. </w:t>
      </w:r>
    </w:p>
    <w:p w14:paraId="30607570" w14:textId="1D6DDFC0" w:rsidR="00AB72B5" w:rsidRDefault="00AB72B5" w:rsidP="00B77EC6">
      <w:pPr>
        <w:spacing w:after="120"/>
        <w:ind w:firstLine="357"/>
        <w:jc w:val="both"/>
      </w:pPr>
      <w:r>
        <w:t>Существенным отличием германской системы социального обслуживания на базе учреждений от российской системы психоневрологических интернатов является, во-первых, высокая степень социализации резидентов учреждений: фактически для большинства учреждение является местом проживания, тогда как в течение дня такие люди получают различные социальные услуги, проводят досуг или работают вне учреждения. Во-вторых, финансирование организовано таким образом, что люди имеют реальную возможность выбирать, в каких условиях проживать.</w:t>
      </w:r>
    </w:p>
    <w:p w14:paraId="0FBBB468" w14:textId="2A2417F3" w:rsidR="00B66FC7" w:rsidRDefault="00E55DE4" w:rsidP="00B77EC6">
      <w:pPr>
        <w:spacing w:after="120"/>
        <w:ind w:firstLine="357"/>
        <w:jc w:val="both"/>
      </w:pPr>
      <w:r w:rsidRPr="00E55DE4">
        <w:t>Закон</w:t>
      </w:r>
      <w:r>
        <w:t>ом</w:t>
      </w:r>
      <w:r w:rsidRPr="00E55DE4">
        <w:t xml:space="preserve"> </w:t>
      </w:r>
      <w:r w:rsidR="00A51992">
        <w:t xml:space="preserve">ФРГ </w:t>
      </w:r>
      <w:r w:rsidRPr="00E55DE4">
        <w:t xml:space="preserve">об усилении участия и самоопределения инвалидов </w:t>
      </w:r>
      <w:r w:rsidR="00A51992">
        <w:t>(</w:t>
      </w:r>
      <w:r w:rsidR="00A51992" w:rsidRPr="00A51992">
        <w:t>Gesetz zur Stärkung der Teilhabe und Selbstbestimmung von Menschen mit Behinderung</w:t>
      </w:r>
      <w:r w:rsidR="00A51992">
        <w:t xml:space="preserve">en </w:t>
      </w:r>
      <w:r w:rsidR="00A51992">
        <w:lastRenderedPageBreak/>
        <w:t xml:space="preserve">(Bundesteilhabegesetz (BTHG)) от 23 декабря 2016 года </w:t>
      </w:r>
      <w:r>
        <w:t>(</w:t>
      </w:r>
      <w:r w:rsidR="00A51992">
        <w:t>«</w:t>
      </w:r>
      <w:r>
        <w:t xml:space="preserve">Федеральный </w:t>
      </w:r>
      <w:r w:rsidR="00A51992">
        <w:t>з</w:t>
      </w:r>
      <w:r>
        <w:t>акон об участии</w:t>
      </w:r>
      <w:r w:rsidR="00A51992">
        <w:t>»</w:t>
      </w:r>
      <w:r>
        <w:t>)</w:t>
      </w:r>
      <w:r w:rsidR="00A51992">
        <w:t xml:space="preserve">, принятым в целях реализации Конвенции о правах инвалидов, установлены общие требования к организации предоставления помощи и социальных услуг людями с инвалидностью. </w:t>
      </w:r>
    </w:p>
    <w:p w14:paraId="70012B52" w14:textId="5F0A275D" w:rsidR="00B66FC7" w:rsidRDefault="00B66FC7" w:rsidP="00A45878">
      <w:pPr>
        <w:pStyle w:val="a3"/>
        <w:numPr>
          <w:ilvl w:val="0"/>
          <w:numId w:val="2"/>
        </w:numPr>
        <w:spacing w:after="120"/>
        <w:ind w:left="714" w:hanging="357"/>
        <w:contextualSpacing w:val="0"/>
        <w:jc w:val="both"/>
      </w:pPr>
      <w:r>
        <w:t>Ключевым принципом Федерального закона об участии является право любого человека с инвалидностью выбирать форму организации социальной помощи.</w:t>
      </w:r>
    </w:p>
    <w:p w14:paraId="36CB12C7" w14:textId="23231C4A" w:rsidR="00AB42F3" w:rsidRDefault="00AB42F3" w:rsidP="00A45878">
      <w:pPr>
        <w:pStyle w:val="a3"/>
        <w:numPr>
          <w:ilvl w:val="0"/>
          <w:numId w:val="2"/>
        </w:numPr>
        <w:spacing w:after="120"/>
        <w:ind w:left="714" w:hanging="357"/>
        <w:contextualSpacing w:val="0"/>
        <w:jc w:val="both"/>
      </w:pPr>
      <w:r>
        <w:t>В соответствии с Федеральным законом об участии на региональном уровне законодательство</w:t>
      </w:r>
      <w:r w:rsidR="00B66FC7">
        <w:t xml:space="preserve">м земель Германии предусмотрено </w:t>
      </w:r>
      <w:r>
        <w:t xml:space="preserve">ограничение максимального числа проживающих в учреждениях. Например, согласно </w:t>
      </w:r>
      <w:r w:rsidR="006C3AE7">
        <w:t>ст</w:t>
      </w:r>
      <w:r w:rsidR="00B66FC7">
        <w:t>а</w:t>
      </w:r>
      <w:r w:rsidR="006C3AE7">
        <w:t>тье</w:t>
      </w:r>
      <w:r>
        <w:t xml:space="preserve"> 3.1 закона земли </w:t>
      </w:r>
      <w:r w:rsidRPr="00AB42F3">
        <w:t>С</w:t>
      </w:r>
      <w:r>
        <w:t>е</w:t>
      </w:r>
      <w:r w:rsidRPr="00AB42F3">
        <w:t>верный Рейн-Вестф</w:t>
      </w:r>
      <w:r>
        <w:t>а</w:t>
      </w:r>
      <w:r w:rsidRPr="00AB42F3">
        <w:t xml:space="preserve">лия </w:t>
      </w:r>
      <w:r>
        <w:t>«</w:t>
      </w:r>
      <w:r w:rsidRPr="00AB42F3">
        <w:t>Положени</w:t>
      </w:r>
      <w:r>
        <w:t>е</w:t>
      </w:r>
      <w:r w:rsidRPr="00AB42F3">
        <w:t xml:space="preserve"> о продвижении жилья для людей с ограниченными возможностями в учреждени</w:t>
      </w:r>
      <w:r>
        <w:t>ях с полным спектром услуг» (</w:t>
      </w:r>
      <w:r w:rsidRPr="00AB42F3">
        <w:t>Bestimmungen zur Förderung von Wohnraum für Menschen mit Behinderungen in Einrichtungen mit umfassendem Leistungsangebot (BWB)</w:t>
      </w:r>
      <w:r>
        <w:t>) от 27 марта 2015 года (с изм. на 7.10.2019 г.):</w:t>
      </w:r>
    </w:p>
    <w:p w14:paraId="279C27F9" w14:textId="77777777" w:rsidR="00AB42F3" w:rsidRDefault="00AB42F3" w:rsidP="00AB42F3"/>
    <w:p w14:paraId="2CB64078" w14:textId="6FE0230C" w:rsidR="00AB42F3" w:rsidRPr="006C3AE7" w:rsidRDefault="00AB42F3" w:rsidP="00B66FC7">
      <w:pPr>
        <w:ind w:left="1276" w:firstLine="360"/>
        <w:rPr>
          <w:i/>
        </w:rPr>
      </w:pPr>
      <w:r w:rsidRPr="006C3AE7">
        <w:rPr>
          <w:i/>
        </w:rPr>
        <w:t>В одном месте допускается строительство жилья для 24 инвалидов.</w:t>
      </w:r>
      <w:r w:rsidR="00A45878">
        <w:rPr>
          <w:i/>
        </w:rPr>
        <w:t>.</w:t>
      </w:r>
      <w:r w:rsidRPr="006C3AE7">
        <w:rPr>
          <w:i/>
        </w:rPr>
        <w:t>.</w:t>
      </w:r>
    </w:p>
    <w:p w14:paraId="71252DB6" w14:textId="599D4F67" w:rsidR="00E55DE4" w:rsidRDefault="006C3AE7" w:rsidP="00B72E37">
      <w:pPr>
        <w:ind w:left="1276" w:firstLine="360"/>
        <w:rPr>
          <w:i/>
        </w:rPr>
      </w:pPr>
      <w:r w:rsidRPr="006C3AE7">
        <w:rPr>
          <w:i/>
        </w:rPr>
        <w:t>В о</w:t>
      </w:r>
      <w:r w:rsidR="00AB42F3" w:rsidRPr="006C3AE7">
        <w:rPr>
          <w:i/>
        </w:rPr>
        <w:t xml:space="preserve">тступление от первого </w:t>
      </w:r>
      <w:r w:rsidR="00A45878">
        <w:rPr>
          <w:i/>
        </w:rPr>
        <w:t>предложения</w:t>
      </w:r>
      <w:r w:rsidR="00AB42F3" w:rsidRPr="006C3AE7">
        <w:rPr>
          <w:i/>
        </w:rPr>
        <w:t xml:space="preserve"> </w:t>
      </w:r>
      <w:r w:rsidR="00A45878">
        <w:rPr>
          <w:i/>
        </w:rPr>
        <w:t xml:space="preserve">жилищные места </w:t>
      </w:r>
      <w:r w:rsidRPr="006C3AE7">
        <w:rPr>
          <w:i/>
        </w:rPr>
        <w:t>субсидир</w:t>
      </w:r>
      <w:r w:rsidR="00A45878">
        <w:rPr>
          <w:i/>
        </w:rPr>
        <w:t>уются</w:t>
      </w:r>
      <w:r w:rsidR="00AB42F3" w:rsidRPr="006C3AE7">
        <w:rPr>
          <w:i/>
        </w:rPr>
        <w:t xml:space="preserve">, если строительные меры служат для адаптации существующих объектов к сегодняшнему уровню жизни в значении этих положений и являются частью общей концепции сокращения размера существующего крупномасштабного объекта. Общая концепция должна быть согласована с </w:t>
      </w:r>
      <w:r w:rsidRPr="006C3AE7">
        <w:rPr>
          <w:i/>
        </w:rPr>
        <w:t>федеральным</w:t>
      </w:r>
      <w:r w:rsidR="00AB42F3" w:rsidRPr="006C3AE7">
        <w:rPr>
          <w:i/>
        </w:rPr>
        <w:t xml:space="preserve"> учреждением социальной помощи и мин</w:t>
      </w:r>
      <w:r w:rsidR="00B72E37">
        <w:rPr>
          <w:i/>
        </w:rPr>
        <w:t>истерством, отвечающим за жилье.</w:t>
      </w:r>
    </w:p>
    <w:p w14:paraId="02FBF5D1" w14:textId="77777777" w:rsidR="00A45878" w:rsidRDefault="00A45878" w:rsidP="00B72E37">
      <w:pPr>
        <w:ind w:left="1276" w:firstLine="360"/>
        <w:rPr>
          <w:i/>
        </w:rPr>
      </w:pPr>
    </w:p>
    <w:p w14:paraId="17120CC6" w14:textId="2E55F2E6" w:rsidR="00A45878" w:rsidRPr="00D67539" w:rsidRDefault="00A45878" w:rsidP="00D67539">
      <w:pPr>
        <w:spacing w:after="120"/>
        <w:ind w:firstLine="357"/>
        <w:jc w:val="both"/>
      </w:pPr>
      <w:r w:rsidRPr="00D67539">
        <w:t xml:space="preserve">Таким образом, </w:t>
      </w:r>
      <w:r w:rsidR="00D67539">
        <w:t xml:space="preserve">закон исходит из того, что новые учреждения для людей с инвалидностью могут строиться только вместимостью не более 24 человек, что касается учреждений, построенных до указанного закона, то любая реконструкция может финансироваться государством только при условии того, что она направлена на их разукрупнение. </w:t>
      </w:r>
    </w:p>
    <w:sectPr w:rsidR="00A45878" w:rsidRPr="00D67539" w:rsidSect="0035521F">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9A2B6" w14:textId="77777777" w:rsidR="00804990" w:rsidRDefault="00804990" w:rsidP="00D4456C">
      <w:r>
        <w:separator/>
      </w:r>
    </w:p>
  </w:endnote>
  <w:endnote w:type="continuationSeparator" w:id="0">
    <w:p w14:paraId="12B0B0D6" w14:textId="77777777" w:rsidR="00804990" w:rsidRDefault="00804990" w:rsidP="00D4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B0FF2" w14:textId="77777777" w:rsidR="00804990" w:rsidRDefault="00804990" w:rsidP="00D4456C">
      <w:r>
        <w:separator/>
      </w:r>
    </w:p>
  </w:footnote>
  <w:footnote w:type="continuationSeparator" w:id="0">
    <w:p w14:paraId="738EF0C2" w14:textId="77777777" w:rsidR="00804990" w:rsidRDefault="00804990" w:rsidP="00D4456C">
      <w:r>
        <w:continuationSeparator/>
      </w:r>
    </w:p>
  </w:footnote>
  <w:footnote w:id="1">
    <w:p w14:paraId="24DD1B07" w14:textId="78493E00" w:rsidR="00AE0659" w:rsidRPr="00AE0659" w:rsidRDefault="00AE0659" w:rsidP="00AE0659">
      <w:pPr>
        <w:rPr>
          <w:rFonts w:eastAsia="Times New Roman"/>
        </w:rPr>
      </w:pPr>
      <w:r w:rsidRPr="00AE0659">
        <w:rPr>
          <w:rStyle w:val="a6"/>
          <w:sz w:val="20"/>
          <w:szCs w:val="20"/>
        </w:rPr>
        <w:footnoteRef/>
      </w:r>
      <w:r w:rsidRPr="00AE0659">
        <w:rPr>
          <w:sz w:val="20"/>
          <w:szCs w:val="20"/>
        </w:rPr>
        <w:t xml:space="preserve"> Kennzahlenvergleich Eingliederungshilfe der überörtlichen Träger der Sozialhilfe 2017.</w:t>
      </w:r>
      <w:r>
        <w:rPr>
          <w:sz w:val="20"/>
          <w:szCs w:val="20"/>
        </w:rPr>
        <w:t xml:space="preserve"> </w:t>
      </w:r>
      <w:hyperlink r:id="rId1" w:history="1">
        <w:r w:rsidRPr="00AE0659">
          <w:rPr>
            <w:rStyle w:val="a7"/>
            <w:rFonts w:eastAsia="Times New Roman"/>
            <w:sz w:val="20"/>
            <w:szCs w:val="20"/>
          </w:rPr>
          <w:t>http://kennzahlenvergleich-eingliederungshilfe.de/images/berichte/2019-03-06%20BAGS%20Bericht%202017_final.pdf</w:t>
        </w:r>
      </w:hyperlink>
    </w:p>
  </w:footnote>
  <w:footnote w:id="2">
    <w:p w14:paraId="3D9F053D" w14:textId="3A98772C" w:rsidR="00AE0659" w:rsidRPr="00A45878" w:rsidRDefault="00AE0659">
      <w:pPr>
        <w:pStyle w:val="a4"/>
        <w:rPr>
          <w:sz w:val="20"/>
          <w:szCs w:val="20"/>
        </w:rPr>
      </w:pPr>
      <w:r w:rsidRPr="00A45878">
        <w:rPr>
          <w:rStyle w:val="a6"/>
          <w:sz w:val="20"/>
          <w:szCs w:val="20"/>
        </w:rPr>
        <w:footnoteRef/>
      </w:r>
      <w:r w:rsidRPr="00A45878">
        <w:rPr>
          <w:sz w:val="20"/>
          <w:szCs w:val="20"/>
        </w:rPr>
        <w:t xml:space="preserve"> В силу исторической традиции поставщиками финансируемых государством социальных услуг для людей с инвалидностью в ФРГ являются благотворительные, в том числе церковные, организации.</w:t>
      </w:r>
    </w:p>
  </w:footnote>
  <w:footnote w:id="3">
    <w:p w14:paraId="32B5EA42" w14:textId="2B120566" w:rsidR="00AE0659" w:rsidRPr="00B77EC6" w:rsidRDefault="00AE0659" w:rsidP="00D4456C">
      <w:pPr>
        <w:rPr>
          <w:rFonts w:ascii="Times New Roman" w:eastAsia="Times New Roman" w:hAnsi="Times New Roman" w:cs="Times New Roman"/>
          <w:sz w:val="20"/>
          <w:szCs w:val="20"/>
        </w:rPr>
      </w:pPr>
      <w:r w:rsidRPr="00B77EC6">
        <w:rPr>
          <w:rStyle w:val="a6"/>
          <w:sz w:val="20"/>
          <w:szCs w:val="20"/>
        </w:rPr>
        <w:footnoteRef/>
      </w:r>
      <w:r w:rsidRPr="00B77EC6">
        <w:rPr>
          <w:sz w:val="20"/>
          <w:szCs w:val="20"/>
        </w:rPr>
        <w:t xml:space="preserve"> Bundesarbeitsgemeinschaft der Freien Wohlfahrtspflege e. V. </w:t>
      </w:r>
      <w:r w:rsidRPr="00B77EC6">
        <w:rPr>
          <w:i/>
          <w:sz w:val="20"/>
          <w:szCs w:val="20"/>
        </w:rPr>
        <w:t xml:space="preserve">Gesamtstatistik 2016. Einrichtungen und Dienste der Freien Wohlfahrtspflege. </w:t>
      </w:r>
      <w:r w:rsidRPr="00B77EC6">
        <w:rPr>
          <w:sz w:val="20"/>
          <w:szCs w:val="20"/>
          <w:lang w:val="en-US"/>
        </w:rPr>
        <w:t>Dec. 2018.</w:t>
      </w:r>
      <w:r w:rsidRPr="00B77EC6">
        <w:rPr>
          <w:sz w:val="20"/>
          <w:szCs w:val="20"/>
        </w:rPr>
        <w:t xml:space="preserve"> </w:t>
      </w:r>
      <w:hyperlink r:id="rId2" w:history="1">
        <w:r w:rsidRPr="00B77EC6">
          <w:rPr>
            <w:rFonts w:ascii="Times New Roman" w:eastAsia="Times New Roman" w:hAnsi="Times New Roman" w:cs="Times New Roman"/>
            <w:color w:val="0000FF"/>
            <w:sz w:val="20"/>
            <w:szCs w:val="20"/>
            <w:u w:val="single"/>
          </w:rPr>
          <w:t>https://www.bagfw.de/veroeffentlichungen/publikationen/gesamtstatistik-2016</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2753"/>
    <w:multiLevelType w:val="hybridMultilevel"/>
    <w:tmpl w:val="C3AC4C64"/>
    <w:lvl w:ilvl="0" w:tplc="25E2D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93147"/>
    <w:multiLevelType w:val="hybridMultilevel"/>
    <w:tmpl w:val="94365D68"/>
    <w:lvl w:ilvl="0" w:tplc="C434B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E4"/>
    <w:rsid w:val="002608DE"/>
    <w:rsid w:val="002C67BA"/>
    <w:rsid w:val="0035521F"/>
    <w:rsid w:val="005D5AF9"/>
    <w:rsid w:val="006C3AE7"/>
    <w:rsid w:val="006F6F70"/>
    <w:rsid w:val="00723C57"/>
    <w:rsid w:val="00804990"/>
    <w:rsid w:val="008778CD"/>
    <w:rsid w:val="00A45878"/>
    <w:rsid w:val="00A51992"/>
    <w:rsid w:val="00AB42F3"/>
    <w:rsid w:val="00AB72B5"/>
    <w:rsid w:val="00AE0659"/>
    <w:rsid w:val="00B66FC7"/>
    <w:rsid w:val="00B72E37"/>
    <w:rsid w:val="00B77EC6"/>
    <w:rsid w:val="00D4456C"/>
    <w:rsid w:val="00D67539"/>
    <w:rsid w:val="00DC1FDE"/>
    <w:rsid w:val="00E55DE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DD4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2F3"/>
    <w:pPr>
      <w:ind w:left="720"/>
      <w:contextualSpacing/>
    </w:pPr>
  </w:style>
  <w:style w:type="paragraph" w:styleId="a4">
    <w:name w:val="footnote text"/>
    <w:basedOn w:val="a"/>
    <w:link w:val="a5"/>
    <w:uiPriority w:val="99"/>
    <w:unhideWhenUsed/>
    <w:rsid w:val="00D4456C"/>
  </w:style>
  <w:style w:type="character" w:customStyle="1" w:styleId="a5">
    <w:name w:val="Текст сноски Знак"/>
    <w:basedOn w:val="a0"/>
    <w:link w:val="a4"/>
    <w:uiPriority w:val="99"/>
    <w:rsid w:val="00D4456C"/>
  </w:style>
  <w:style w:type="character" w:styleId="a6">
    <w:name w:val="footnote reference"/>
    <w:basedOn w:val="a0"/>
    <w:uiPriority w:val="99"/>
    <w:unhideWhenUsed/>
    <w:rsid w:val="00D4456C"/>
    <w:rPr>
      <w:vertAlign w:val="superscript"/>
    </w:rPr>
  </w:style>
  <w:style w:type="character" w:styleId="a7">
    <w:name w:val="Hyperlink"/>
    <w:basedOn w:val="a0"/>
    <w:uiPriority w:val="99"/>
    <w:semiHidden/>
    <w:unhideWhenUsed/>
    <w:rsid w:val="00D445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2F3"/>
    <w:pPr>
      <w:ind w:left="720"/>
      <w:contextualSpacing/>
    </w:pPr>
  </w:style>
  <w:style w:type="paragraph" w:styleId="a4">
    <w:name w:val="footnote text"/>
    <w:basedOn w:val="a"/>
    <w:link w:val="a5"/>
    <w:uiPriority w:val="99"/>
    <w:unhideWhenUsed/>
    <w:rsid w:val="00D4456C"/>
  </w:style>
  <w:style w:type="character" w:customStyle="1" w:styleId="a5">
    <w:name w:val="Текст сноски Знак"/>
    <w:basedOn w:val="a0"/>
    <w:link w:val="a4"/>
    <w:uiPriority w:val="99"/>
    <w:rsid w:val="00D4456C"/>
  </w:style>
  <w:style w:type="character" w:styleId="a6">
    <w:name w:val="footnote reference"/>
    <w:basedOn w:val="a0"/>
    <w:uiPriority w:val="99"/>
    <w:unhideWhenUsed/>
    <w:rsid w:val="00D4456C"/>
    <w:rPr>
      <w:vertAlign w:val="superscript"/>
    </w:rPr>
  </w:style>
  <w:style w:type="character" w:styleId="a7">
    <w:name w:val="Hyperlink"/>
    <w:basedOn w:val="a0"/>
    <w:uiPriority w:val="99"/>
    <w:semiHidden/>
    <w:unhideWhenUsed/>
    <w:rsid w:val="00D44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6460">
      <w:bodyDiv w:val="1"/>
      <w:marLeft w:val="0"/>
      <w:marRight w:val="0"/>
      <w:marTop w:val="0"/>
      <w:marBottom w:val="0"/>
      <w:divBdr>
        <w:top w:val="none" w:sz="0" w:space="0" w:color="auto"/>
        <w:left w:val="none" w:sz="0" w:space="0" w:color="auto"/>
        <w:bottom w:val="none" w:sz="0" w:space="0" w:color="auto"/>
        <w:right w:val="none" w:sz="0" w:space="0" w:color="auto"/>
      </w:divBdr>
    </w:div>
    <w:div w:id="584068419">
      <w:bodyDiv w:val="1"/>
      <w:marLeft w:val="0"/>
      <w:marRight w:val="0"/>
      <w:marTop w:val="0"/>
      <w:marBottom w:val="0"/>
      <w:divBdr>
        <w:top w:val="none" w:sz="0" w:space="0" w:color="auto"/>
        <w:left w:val="none" w:sz="0" w:space="0" w:color="auto"/>
        <w:bottom w:val="none" w:sz="0" w:space="0" w:color="auto"/>
        <w:right w:val="none" w:sz="0" w:space="0" w:color="auto"/>
      </w:divBdr>
    </w:div>
    <w:div w:id="1904872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agfw.de/veroeffentlichungen/publikationen/gesamtstatistik-2016" TargetMode="External"/><Relationship Id="rId1" Type="http://schemas.openxmlformats.org/officeDocument/2006/relationships/hyperlink" Target="http://kennzahlenvergleich-eingliederungshilfe.de/images/berichte/2019-03-06%20BAGS%20Bericht%202017_final.pd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 Bartenev</dc:creator>
  <cp:lastModifiedBy>Света</cp:lastModifiedBy>
  <cp:revision>2</cp:revision>
  <dcterms:created xsi:type="dcterms:W3CDTF">2019-10-21T10:21:00Z</dcterms:created>
  <dcterms:modified xsi:type="dcterms:W3CDTF">2019-10-21T10:21:00Z</dcterms:modified>
</cp:coreProperties>
</file>